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9</w:t>
      </w:r>
    </w:p>
    <w:p>
      <w:r>
        <w:t>Bundesgericht (BGE), 1990-02-15, DE</w:t>
      </w:r>
    </w:p>
    <w:p>
      <w:r>
        <w:rPr>
          <w:b/>
        </w:rPr>
        <w:t xml:space="preserve">Quelle: </w:t>
      </w:r>
      <w:r>
        <w:t>https://mcp.opencaselaw.ch/entscheid/bge_116 II 9</w:t>
      </w:r>
    </w:p>
    <w:p>
      <w:r>
        <w:t>FR: ATF 116 II 9</w:t>
      </w:r>
    </w:p>
    <w:p>
      <w:r>
        <w:t>IT: DTF 116 II 9</w:t>
      </w:r>
    </w:p>
    <w:p>
      <w:pPr>
        <w:pStyle w:val="Heading2"/>
      </w:pPr>
      <w:r>
        <w:t>Regeste</w:t>
      </w:r>
    </w:p>
    <w:p>
      <w:r>
        <w:t>Regeste Art. 1 Abs. 2 IPRG; Umfang des Vorbehalts völkerrechtlicher Verträge. Der Vorbehalt völkerrechtlicher Verträge in Art. 1 Abs. 2 IPRG bezieht sich auf den gesamten Bereich, der im IPRG geregelt ist. Soweit solche Verträge bestehen, richtet sich die Anerkennung und Vollstreckung ausländischer Urteile in der Schweiz daher auch nach dem Inkrafttreten des IPRG ausschliesslich nach diesen Staatsverträgen (E. 3). Vertrag zwischen der Schweiz und Spanien über die gegenseitige Vollstreckung von Urteilen oder Erkenntnissen in Zivil- und Handelssachen (SR 0.276.193.321); Art. 6, Anerkennung von Scheidungsurteilen. - Ist ein in der Schweiz angehobenes Scheidungsverfahren zwischen in der Schweiz wohnenden spanischen Eheleuten weiterzuführen, wenn nach Anhängigmachung der schweizerischen Scheidungsklage in Spanien ein weiteres Scheidungsverfahren angehoben wird und der spanische Richter die Scheidung der Parteien ausspricht? Frage bejaht, falls der schweizerische Richter für die Scheidungsklage zuständig gewesen ist (E. 4). - Massgeblicher Zeitpunkt für die Beurteilung der Zuständigkeitsvoraussetzungen: Jener der Klageeinleitung in der Schweiz für die Frage des Wohnsitzes; jener der Klageeinleitung in Spanien für die Voraussetzungen, für welche das schweizerische Recht auf das spanische verweist (E. 5).</w:t>
      </w:r>
    </w:p>
    <w:p>
      <w:pPr>
        <w:pStyle w:val="Heading2"/>
      </w:pPr>
      <w:r>
        <w:t>Erwägungen</w:t>
      </w:r>
    </w:p>
    <w:p>
      <w:r>
        <w:rPr>
          <w:b/>
        </w:rPr>
        <w:t>E. 3</w:t>
      </w:r>
    </w:p>
    <w:p>
      <w:r>
        <w:t>Am 22. Juli 1988 ist die Ehe der Parteien in Spanien in einem zweitinstanzlichen, als endgültig bezeichneten Urteil geschieden worden. Wenn dieses Scheidungsurteil in der Schweiz BGE 116 II 9 S. 12 anerkannt werden muss, entfällt zwangsläufig der Gegenstand der von der Klägerin in Bern abhängig gemachten Scheidungsklage. Es ist daher in erster Linie zu prüfen, ob die Voraussetzungen zur Anerkennung des spanischen Scheidungsurteils in der Schweiz gegeben sind. Diese Frage ist aufgrund des Vertrages zwischen der Schweiz und Spanien über die gegenseitige Vollstreckung von Urteilen oder Erkenntnissen in Zivil- und Handelssachen vom 19. November 1896 zu beurteilen, der am 6. Juli 1898 in Kraft getreten und heute noch gültig ist (SR 0.276.193.321). Obwohl in diesem Vertrag nur von der Vollstreckung von Urteilen die Rede ist, gilt er nicht nur für die Vollstreckung, sondern auch für die Anerkennung der Urteile (GULDENER, Das internationale und interkantonale Zivilprozessrecht der Schweiz, S. 131). An der Massgeblichkeit dieses Staatsvertrages hat sich durch das Inkrafttreten des IPRG nichts geändert. In Art. 1 Abs. 2 IPRG werden völkerrechtliche Verträge allgemein vorbehalten. Dieser Vorbehalt bezieht sich, wie sich aus seinem Wortlaut und seiner Stellung ergibt, auf den gesamten Bereich, der im IPRG geregelt ist (Botschaft des Bundesrates zum IPRG vom 10. November 1982, BBl 1983, Bd. I, 297 f.; IVO SCHWANDER, in: Die allgemeinen Bestimmungen des IPRG, St. Gallen 1988, S. 45; H.U. WALDER, daselbst, S. 205 ff.). Nicht anwendbar ist im vorliegenden Fall hingegen das Übereinkommen über die Anerkennung von Ehescheidungen und Ehetrennungen (SR 0.211.212.3). Diesem Abkommen, das nur zwischen den Vertragsstaaten gilt, ist Spanien bisher nicht beigetreten.</w:t>
      </w:r>
    </w:p>
    <w:p>
      <w:r>
        <w:rPr>
          <w:b/>
        </w:rPr>
        <w:t>E. 4</w:t>
      </w:r>
    </w:p>
    <w:p>
      <w:r>
        <w:t>Nach Art. 6 des Vertrages zwischen der Schweiz und Spanien vom 19. November 1896 kann die Vollstreckung - und damit auch die Anerkennung - eines im jeweils andern Staat gefällten Urteils nur in folgenden Fällen verweigert werden: "1. wenn der Entscheid von einer nicht zuständigen Behörde ausgegangen ist; 2. wenn er erlassen wurde, ohne dass die Parteien gehörig vorgeladen oder gesetzlich vertreten waren; 3. wenn die Grundsätze des öffentlichen Rechtes des Landes, in welchem die Vollstreckung stattfinden würde, dieser entgegenstehen." a) Ob der Entscheid im Sinne von Art. 6 Ziff. 1 von einer zuständigen oder unzuständigen Behörde ausgegangen sei, kann nicht aufgrund des Staatsvertrages selber beurteilt werden, da dieser keine Gerichtsstandsvorschriften enthält. Diese Frage bestimmt sich deshalb nach dem Recht des Staates, in welchem die BGE 116 II 9 S. 13 Entscheidung geltend gemacht wird. Dies führt hier zu einer Prüfung aufgrund des schweizerischen Rechts (GULDENER, a.a.O., S. 135 f.). b) Nach schweizerischem Recht war der spanische Heimatrichter zur Scheidung der Parteien dann nicht zuständig, wenn in der Schweiz ein ausschliesslicher und unverzichtbarer Gerichtsstand für die Scheidung bestand. Dies war der Fall, wenn die Scheidungsklage vor der Anrufung des spanischen Gerichts in der Schweiz bei einem zuständigen Richter anhängig gemacht worden war. Eine Widerklage auf Scheidung oder Trennung konnte in der Folge aufgrund des Sachzusammenhangs nur beim Gericht der Erstklage erhoben werden, das zwecks Vermeidung widersprechender Urteile zum Entscheid über beide Klagen berufen war. Dieser durch die Rechtsprechung begründete ausschliessliche und zwingende Gerichtsstand gilt nicht nur innerhalb der Schweiz, sondern auch im Verhältnis zum Ausland ( BGE 113 II 104 f. E. 3, BGE 91 II 323 f. E. 3a, BGE 80 II 100 f.; BÜHLER/SPÜHLER, Berner Kommentar, N 51 ff. zu Art. 144 ZGB , N 152 in Verbindung mit N 137 der Einleitung; GULDENER, a.a.O., S. 178 N 18). Nichts anderes ergibt sich übrigens nach den Bestimmungen des am 1. Januar 1989 in Kraft getretenen IPRG. Gemäss Art. 27 Abs. 2 lit. c IPRG wird eine im Ausland ergangene Entscheidung in der Schweiz nicht anerkannt, wenn eine Partei nachweist, dass ein Rechtsstreit zwischen denselben Parteien über denselben Gegenstand zuerst in der Schweiz eingeleitet oder in der Schweiz entschieden worden ist. c) Im folgenden bleibt somit zu prüfen, ob der von der Klägerin in der Schweiz angerufene Richter für die Beurteilung der Scheidungsklage zuständig war. Ist dies der Fall, so kann das spanische Urteil nicht anerkannt werden, weil alsdann der spanische Richter aus schweizerischer Sicht nicht zuständig gewesen ist.</w:t>
      </w:r>
    </w:p>
    <w:p>
      <w:r>
        <w:rPr>
          <w:b/>
        </w:rPr>
        <w:t>E. 5</w:t>
      </w:r>
    </w:p>
    <w:p>
      <w:r>
        <w:t>Es fragt sich vorerst, auf welchen Zeitpunkt für die Beurteilung der Zuständigkeit des schweizerischen Richters abzustellen ist. Nach allgemeinen Grundsätzen des Zivilprozessrechtes müssen die Prozessvoraussetzungen im Zeitpunkt der Fällung des Sachurteils noch gegeben sein, wobei es genügt, wenn sie bis zu diesem Zeitpunkt eintreten (GULDENER, Schweizerisches Zivilprozessrecht, S. 229; KUMMER, Grundriss des Zivilprozessrechts, S. 87; VOGEL, Grundriss des Zivilprozessrechts, 2. Aufl., S. 149 Rz. 85). Nach der bundesgerichtlichen Rechtsprechung gilt jedoch bei BGE 116 II 9 S. 14 Scheidungsklagen für die Zuständigkeit eine Ausnahme: Hier muss die Zuständigkeit im Zeitpunkt der Anhängigmachung der Klage gegeben sein, um zu verhindern, dass die Parteien durch spätere Wohnsitzverlegung auf die Beurteilung der Zuständigkeit Einfluss nehmen können ( BGE 91 II 322 E. 3, 90 II 215 E. 2 mit Hinweisen). An dieser Rechtsprechung ist festzuhalten. Hingegen bleibt zu prüfen, welcher Zeitpunkt für die Beurteilung jener Voraussetzungen massgeblich sei, für welche das schweizerische Recht auf das Heimatrecht der Parteien verweist. Hierzu ist danach zu fragen, von wann an einem in der Schweiz wohnhaften Ausländer die Einreichung einer Scheidungsklage in seiner Heimat vernünftigerweise verwehrt werden kann. Dies ist in einem Fall wie dem vorliegenden der Zeitpunkt der Einreichung der Zweitklage im ausländischen Heimatstaat. War die schweizerische Zuständigkeit in jenem Zeitpunkt gegeben, so war es dem Beklagten zuzumuten, seine Widerklage auf Scheidung oder Trennung beim schweizerischen Richter der Erstklage zu erheben. Waren die Voraussetzungen des Art. 7h Abs. 1 NAG für die schweizerische Zuständigkeit bis zu jenem Zeitpunkt eingetreten, so bestand kein Grund, den Gerichtsstand des Sachzusammenhanges nicht zu berücksichtigen. Es ginge zu weit, für diese Prozessvoraussetzungen auf den Zeitpunkt der Einreichung der Klage in der Schweiz abzustellen. Im vorliegenden Fall wäre dies umso weniger gerechtfertigt, als das Verfahren in der Schweiz in aller Form sistiert worden ist, ohne dass sich der Beklagte dagegen zur Wehr gesetzt hat. Erst mehr als ein Jahr nach der Wiederaufnahme des Prozesses reichte der Beklagte in seinem Heimatstaat Spanien eine eigene Scheidungsklage ein. Für die Frage, ob dies im damaligen Zeitpunkt noch angängig gewesen sei, kann vernünftigerweise nur auf diesen Zeitpunkt abgestellt werden.</w:t>
      </w:r>
    </w:p>
    <w:p>
      <w:r>
        <w:rPr>
          <w:b/>
        </w:rPr>
        <w:t>E. 6</w:t>
      </w:r>
    </w:p>
    <w:p>
      <w:r>
        <w:t>(Das Bundesgericht bejahte, dass die Voraussetzungen des im vorliegenden Falle noch anwendbaren Art. 7h Abs. 1 NAG erfüllt waren. Der angerufene Schweizer Richter war demnach für die Scheidungsklage zuständig, weshalb das in der Zwischenzeit in Spanien ergangene Scheidungsurteil nicht anerkannt werden konnte; das in der Schweiz angehobene Scheidungsverfahren war deshalb weiterzuführen.)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